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DF23" w14:textId="77777777" w:rsidR="00E71CAB" w:rsidRPr="00E71CAB" w:rsidRDefault="00E71CAB" w:rsidP="00E71CA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E71CAB">
        <w:rPr>
          <w:rFonts w:ascii="Times New Roman" w:eastAsia="Times New Roman" w:hAnsi="Times New Roman" w:cs="Times New Roman"/>
          <w:b/>
          <w:bCs/>
          <w:kern w:val="0"/>
          <w:sz w:val="27"/>
          <w:szCs w:val="27"/>
          <w:lang w:eastAsia="tr-TR"/>
          <w14:ligatures w14:val="none"/>
        </w:rPr>
        <w:t>…… AĞIR CEZA MAHKEMESİ </w:t>
      </w:r>
    </w:p>
    <w:p w14:paraId="351D0B12"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u w:val="single"/>
          <w:lang w:eastAsia="tr-TR"/>
          <w14:ligatures w14:val="none"/>
        </w:rPr>
        <w:t xml:space="preserve">DOSYA </w:t>
      </w:r>
      <w:proofErr w:type="gramStart"/>
      <w:r w:rsidRPr="00E71CAB">
        <w:rPr>
          <w:rFonts w:ascii="Times New Roman" w:eastAsia="Times New Roman" w:hAnsi="Times New Roman" w:cs="Times New Roman"/>
          <w:b/>
          <w:bCs/>
          <w:kern w:val="0"/>
          <w:sz w:val="24"/>
          <w:szCs w:val="24"/>
          <w:u w:val="single"/>
          <w:lang w:eastAsia="tr-TR"/>
          <w14:ligatures w14:val="none"/>
        </w:rPr>
        <w:t>NO  :</w:t>
      </w:r>
      <w:proofErr w:type="gramEnd"/>
      <w:r w:rsidRPr="00E71CAB">
        <w:rPr>
          <w:rFonts w:ascii="Times New Roman" w:eastAsia="Times New Roman" w:hAnsi="Times New Roman" w:cs="Times New Roman"/>
          <w:kern w:val="0"/>
          <w:sz w:val="24"/>
          <w:szCs w:val="24"/>
          <w:u w:val="single"/>
          <w:lang w:eastAsia="tr-TR"/>
          <w14:ligatures w14:val="none"/>
        </w:rPr>
        <w:t xml:space="preserve"> </w:t>
      </w:r>
      <w:r w:rsidRPr="00E71CAB">
        <w:rPr>
          <w:rFonts w:ascii="Times New Roman" w:eastAsia="Times New Roman" w:hAnsi="Times New Roman" w:cs="Times New Roman"/>
          <w:kern w:val="0"/>
          <w:sz w:val="24"/>
          <w:szCs w:val="24"/>
          <w:lang w:eastAsia="tr-TR"/>
          <w14:ligatures w14:val="none"/>
        </w:rPr>
        <w:t>…/… E.</w:t>
      </w:r>
    </w:p>
    <w:p w14:paraId="363E84B6"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u w:val="single"/>
          <w:lang w:eastAsia="tr-TR"/>
          <w14:ligatures w14:val="none"/>
        </w:rPr>
        <w:t>SANIK       </w:t>
      </w:r>
      <w:proofErr w:type="gramStart"/>
      <w:r w:rsidRPr="00E71CAB">
        <w:rPr>
          <w:rFonts w:ascii="Times New Roman" w:eastAsia="Times New Roman" w:hAnsi="Times New Roman" w:cs="Times New Roman"/>
          <w:b/>
          <w:bCs/>
          <w:kern w:val="0"/>
          <w:sz w:val="24"/>
          <w:szCs w:val="24"/>
          <w:u w:val="single"/>
          <w:lang w:eastAsia="tr-TR"/>
          <w14:ligatures w14:val="none"/>
        </w:rPr>
        <w:t xml:space="preserve">  :</w:t>
      </w:r>
      <w:proofErr w:type="gramEnd"/>
    </w:p>
    <w:p w14:paraId="1776056C"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u w:val="single"/>
          <w:lang w:eastAsia="tr-TR"/>
          <w14:ligatures w14:val="none"/>
        </w:rPr>
        <w:t>MÜDAFİİ   </w:t>
      </w:r>
      <w:proofErr w:type="gramStart"/>
      <w:r w:rsidRPr="00E71CAB">
        <w:rPr>
          <w:rFonts w:ascii="Times New Roman" w:eastAsia="Times New Roman" w:hAnsi="Times New Roman" w:cs="Times New Roman"/>
          <w:b/>
          <w:bCs/>
          <w:kern w:val="0"/>
          <w:sz w:val="24"/>
          <w:szCs w:val="24"/>
          <w:u w:val="single"/>
          <w:lang w:eastAsia="tr-TR"/>
          <w14:ligatures w14:val="none"/>
        </w:rPr>
        <w:t xml:space="preserve">  :</w:t>
      </w:r>
      <w:proofErr w:type="gramEnd"/>
      <w:r w:rsidRPr="00E71CAB">
        <w:rPr>
          <w:rFonts w:ascii="Times New Roman" w:eastAsia="Times New Roman" w:hAnsi="Times New Roman" w:cs="Times New Roman"/>
          <w:kern w:val="0"/>
          <w:sz w:val="24"/>
          <w:szCs w:val="24"/>
          <w:lang w:eastAsia="tr-TR"/>
          <w14:ligatures w14:val="none"/>
        </w:rPr>
        <w:t xml:space="preserve"> Av. Yekcan ÖNER</w:t>
      </w:r>
    </w:p>
    <w:p w14:paraId="25BAC8C4"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u w:val="single"/>
          <w:lang w:eastAsia="tr-TR"/>
          <w14:ligatures w14:val="none"/>
        </w:rPr>
        <w:t>MÜŞTEKİ   </w:t>
      </w:r>
      <w:proofErr w:type="gramStart"/>
      <w:r w:rsidRPr="00E71CAB">
        <w:rPr>
          <w:rFonts w:ascii="Times New Roman" w:eastAsia="Times New Roman" w:hAnsi="Times New Roman" w:cs="Times New Roman"/>
          <w:b/>
          <w:bCs/>
          <w:kern w:val="0"/>
          <w:sz w:val="24"/>
          <w:szCs w:val="24"/>
          <w:u w:val="single"/>
          <w:lang w:eastAsia="tr-TR"/>
          <w14:ligatures w14:val="none"/>
        </w:rPr>
        <w:t xml:space="preserve">  :</w:t>
      </w:r>
      <w:proofErr w:type="gramEnd"/>
    </w:p>
    <w:p w14:paraId="09B4DA74"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u w:val="single"/>
          <w:lang w:eastAsia="tr-TR"/>
          <w14:ligatures w14:val="none"/>
        </w:rPr>
        <w:t xml:space="preserve">VEKİLİ        </w:t>
      </w:r>
      <w:proofErr w:type="gramStart"/>
      <w:r w:rsidRPr="00E71CAB">
        <w:rPr>
          <w:rFonts w:ascii="Times New Roman" w:eastAsia="Times New Roman" w:hAnsi="Times New Roman" w:cs="Times New Roman"/>
          <w:b/>
          <w:bCs/>
          <w:kern w:val="0"/>
          <w:sz w:val="24"/>
          <w:szCs w:val="24"/>
          <w:u w:val="single"/>
          <w:lang w:eastAsia="tr-TR"/>
          <w14:ligatures w14:val="none"/>
        </w:rPr>
        <w:t>  :</w:t>
      </w:r>
      <w:proofErr w:type="gramEnd"/>
    </w:p>
    <w:p w14:paraId="7A2D400C"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u w:val="single"/>
          <w:lang w:eastAsia="tr-TR"/>
          <w14:ligatures w14:val="none"/>
        </w:rPr>
        <w:t>KONU       </w:t>
      </w:r>
      <w:proofErr w:type="gramStart"/>
      <w:r w:rsidRPr="00E71CAB">
        <w:rPr>
          <w:rFonts w:ascii="Times New Roman" w:eastAsia="Times New Roman" w:hAnsi="Times New Roman" w:cs="Times New Roman"/>
          <w:b/>
          <w:bCs/>
          <w:kern w:val="0"/>
          <w:sz w:val="24"/>
          <w:szCs w:val="24"/>
          <w:u w:val="single"/>
          <w:lang w:eastAsia="tr-TR"/>
          <w14:ligatures w14:val="none"/>
        </w:rPr>
        <w:t xml:space="preserve">  :</w:t>
      </w:r>
      <w:r w:rsidRPr="00E71CAB">
        <w:rPr>
          <w:rFonts w:ascii="Times New Roman" w:eastAsia="Times New Roman" w:hAnsi="Times New Roman" w:cs="Times New Roman"/>
          <w:kern w:val="0"/>
          <w:sz w:val="24"/>
          <w:szCs w:val="24"/>
          <w:lang w:eastAsia="tr-TR"/>
          <w14:ligatures w14:val="none"/>
        </w:rPr>
        <w:t>Esasa</w:t>
      </w:r>
      <w:proofErr w:type="gramEnd"/>
      <w:r w:rsidRPr="00E71CAB">
        <w:rPr>
          <w:rFonts w:ascii="Times New Roman" w:eastAsia="Times New Roman" w:hAnsi="Times New Roman" w:cs="Times New Roman"/>
          <w:kern w:val="0"/>
          <w:sz w:val="24"/>
          <w:szCs w:val="24"/>
          <w:lang w:eastAsia="tr-TR"/>
          <w14:ligatures w14:val="none"/>
        </w:rPr>
        <w:t xml:space="preserve"> İlişkin Savunmalarımızı İçerir Dilekçemizdir.</w:t>
      </w:r>
    </w:p>
    <w:p w14:paraId="34FEF722"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gramStart"/>
      <w:r w:rsidRPr="00E71CAB">
        <w:rPr>
          <w:rFonts w:ascii="Times New Roman" w:eastAsia="Times New Roman" w:hAnsi="Times New Roman" w:cs="Times New Roman"/>
          <w:b/>
          <w:bCs/>
          <w:kern w:val="0"/>
          <w:sz w:val="24"/>
          <w:szCs w:val="24"/>
          <w:u w:val="single"/>
          <w:lang w:eastAsia="tr-TR"/>
          <w14:ligatures w14:val="none"/>
        </w:rPr>
        <w:t>AÇIKLAMALAR :</w:t>
      </w:r>
      <w:proofErr w:type="gramEnd"/>
    </w:p>
    <w:p w14:paraId="345BA70C"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lang w:eastAsia="tr-TR"/>
          <w14:ligatures w14:val="none"/>
        </w:rPr>
        <w:t xml:space="preserve">1-) </w:t>
      </w:r>
      <w:r w:rsidRPr="00E71CAB">
        <w:rPr>
          <w:rFonts w:ascii="Times New Roman" w:eastAsia="Times New Roman" w:hAnsi="Times New Roman" w:cs="Times New Roman"/>
          <w:kern w:val="0"/>
          <w:sz w:val="24"/>
          <w:szCs w:val="24"/>
          <w:lang w:eastAsia="tr-TR"/>
          <w14:ligatures w14:val="none"/>
        </w:rPr>
        <w:t>Müvekkilim hakkında, Türk Ceza Kanunu’nun 188/3. maddesi kapsamında “uyuşturucu veya uyarıcı madde ticareti yapmak” suçlamasıyla kamu davası açılmış bulunmaktadır.</w:t>
      </w:r>
      <w:r w:rsidRPr="00E71CAB">
        <w:rPr>
          <w:rFonts w:ascii="Times New Roman" w:eastAsia="Times New Roman" w:hAnsi="Times New Roman" w:cs="Times New Roman"/>
          <w:kern w:val="0"/>
          <w:sz w:val="24"/>
          <w:szCs w:val="24"/>
          <w:lang w:eastAsia="tr-TR"/>
          <w14:ligatures w14:val="none"/>
        </w:rPr>
        <w:br/>
        <w:t xml:space="preserve">Olayın mahiyeti ve dosya kapsamı incelendiğinde, müvekkilin eyleminin </w:t>
      </w:r>
      <w:r w:rsidRPr="00E71CAB">
        <w:rPr>
          <w:rFonts w:ascii="Times New Roman" w:eastAsia="Times New Roman" w:hAnsi="Times New Roman" w:cs="Times New Roman"/>
          <w:b/>
          <w:bCs/>
          <w:kern w:val="0"/>
          <w:sz w:val="24"/>
          <w:szCs w:val="24"/>
          <w:lang w:eastAsia="tr-TR"/>
          <w14:ligatures w14:val="none"/>
        </w:rPr>
        <w:t>ticari amaçla değil, şahsi kullanım sınırında</w:t>
      </w:r>
      <w:r w:rsidRPr="00E71CAB">
        <w:rPr>
          <w:rFonts w:ascii="Times New Roman" w:eastAsia="Times New Roman" w:hAnsi="Times New Roman" w:cs="Times New Roman"/>
          <w:kern w:val="0"/>
          <w:sz w:val="24"/>
          <w:szCs w:val="24"/>
          <w:lang w:eastAsia="tr-TR"/>
          <w14:ligatures w14:val="none"/>
        </w:rPr>
        <w:t xml:space="preserve"> kaldığı açıkça anlaşılmaktadır. Müvekkilin herhangi bir kazanç elde etme saiki veya bu yönde bir örgütsel bağlantısı bulunmamaktadır.</w:t>
      </w:r>
    </w:p>
    <w:p w14:paraId="3B244D14"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lang w:eastAsia="tr-TR"/>
          <w14:ligatures w14:val="none"/>
        </w:rPr>
        <w:t>2-</w:t>
      </w:r>
      <w:proofErr w:type="gramStart"/>
      <w:r w:rsidRPr="00E71CAB">
        <w:rPr>
          <w:rFonts w:ascii="Times New Roman" w:eastAsia="Times New Roman" w:hAnsi="Times New Roman" w:cs="Times New Roman"/>
          <w:b/>
          <w:bCs/>
          <w:kern w:val="0"/>
          <w:sz w:val="24"/>
          <w:szCs w:val="24"/>
          <w:lang w:eastAsia="tr-TR"/>
          <w14:ligatures w14:val="none"/>
        </w:rPr>
        <w:t xml:space="preserve">) </w:t>
      </w:r>
      <w:r w:rsidRPr="00E71CAB">
        <w:rPr>
          <w:rFonts w:ascii="Times New Roman" w:eastAsia="Times New Roman" w:hAnsi="Times New Roman" w:cs="Times New Roman"/>
          <w:kern w:val="0"/>
          <w:sz w:val="24"/>
          <w:szCs w:val="24"/>
          <w:lang w:eastAsia="tr-TR"/>
          <w14:ligatures w14:val="none"/>
        </w:rPr>
        <w:t> Müvekkilim</w:t>
      </w:r>
      <w:proofErr w:type="gramEnd"/>
      <w:r w:rsidRPr="00E71CAB">
        <w:rPr>
          <w:rFonts w:ascii="Times New Roman" w:eastAsia="Times New Roman" w:hAnsi="Times New Roman" w:cs="Times New Roman"/>
          <w:kern w:val="0"/>
          <w:sz w:val="24"/>
          <w:szCs w:val="24"/>
          <w:lang w:eastAsia="tr-TR"/>
          <w14:ligatures w14:val="none"/>
        </w:rPr>
        <w:t xml:space="preserve"> yakalanma anından itibaren </w:t>
      </w:r>
      <w:r w:rsidRPr="00E71CAB">
        <w:rPr>
          <w:rFonts w:ascii="Times New Roman" w:eastAsia="Times New Roman" w:hAnsi="Times New Roman" w:cs="Times New Roman"/>
          <w:b/>
          <w:bCs/>
          <w:kern w:val="0"/>
          <w:sz w:val="24"/>
          <w:szCs w:val="24"/>
          <w:lang w:eastAsia="tr-TR"/>
          <w14:ligatures w14:val="none"/>
        </w:rPr>
        <w:t xml:space="preserve">soruşturma makamlarıyla tam bir </w:t>
      </w:r>
      <w:proofErr w:type="gramStart"/>
      <w:r w:rsidRPr="00E71CAB">
        <w:rPr>
          <w:rFonts w:ascii="Times New Roman" w:eastAsia="Times New Roman" w:hAnsi="Times New Roman" w:cs="Times New Roman"/>
          <w:b/>
          <w:bCs/>
          <w:kern w:val="0"/>
          <w:sz w:val="24"/>
          <w:szCs w:val="24"/>
          <w:lang w:eastAsia="tr-TR"/>
          <w14:ligatures w14:val="none"/>
        </w:rPr>
        <w:t>işbirliği</w:t>
      </w:r>
      <w:proofErr w:type="gramEnd"/>
      <w:r w:rsidRPr="00E71CAB">
        <w:rPr>
          <w:rFonts w:ascii="Times New Roman" w:eastAsia="Times New Roman" w:hAnsi="Times New Roman" w:cs="Times New Roman"/>
          <w:b/>
          <w:bCs/>
          <w:kern w:val="0"/>
          <w:sz w:val="24"/>
          <w:szCs w:val="24"/>
          <w:lang w:eastAsia="tr-TR"/>
          <w14:ligatures w14:val="none"/>
        </w:rPr>
        <w:t xml:space="preserve"> içerisinde hareket etmiş</w:t>
      </w:r>
      <w:r w:rsidRPr="00E71CAB">
        <w:rPr>
          <w:rFonts w:ascii="Times New Roman" w:eastAsia="Times New Roman" w:hAnsi="Times New Roman" w:cs="Times New Roman"/>
          <w:kern w:val="0"/>
          <w:sz w:val="24"/>
          <w:szCs w:val="24"/>
          <w:lang w:eastAsia="tr-TR"/>
          <w14:ligatures w14:val="none"/>
        </w:rPr>
        <w:t>, maddeyi temin ettiği şahısları, iletişim kanallarını ve tedarik zincirine ilişkin tüm bilgileri ayrıntılı biçimde beyan etmiştir. Bu beyanlar sayesinde soruşturmanın genişlemesi ve diğer faillerin tespitine önemli ölçüde katkı sağlanmıştır.</w:t>
      </w:r>
    </w:p>
    <w:p w14:paraId="7AADCA4F"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lang w:eastAsia="tr-TR"/>
          <w14:ligatures w14:val="none"/>
        </w:rPr>
        <w:t>3-</w:t>
      </w:r>
      <w:proofErr w:type="gramStart"/>
      <w:r w:rsidRPr="00E71CAB">
        <w:rPr>
          <w:rFonts w:ascii="Times New Roman" w:eastAsia="Times New Roman" w:hAnsi="Times New Roman" w:cs="Times New Roman"/>
          <w:b/>
          <w:bCs/>
          <w:kern w:val="0"/>
          <w:sz w:val="24"/>
          <w:szCs w:val="24"/>
          <w:lang w:eastAsia="tr-TR"/>
          <w14:ligatures w14:val="none"/>
        </w:rPr>
        <w:t xml:space="preserve">) </w:t>
      </w:r>
      <w:r w:rsidRPr="00E71CAB">
        <w:rPr>
          <w:rFonts w:ascii="Times New Roman" w:eastAsia="Times New Roman" w:hAnsi="Times New Roman" w:cs="Times New Roman"/>
          <w:kern w:val="0"/>
          <w:sz w:val="24"/>
          <w:szCs w:val="24"/>
          <w:lang w:eastAsia="tr-TR"/>
          <w14:ligatures w14:val="none"/>
        </w:rPr>
        <w:t> Müvekkil</w:t>
      </w:r>
      <w:proofErr w:type="gramEnd"/>
      <w:r w:rsidRPr="00E71CAB">
        <w:rPr>
          <w:rFonts w:ascii="Times New Roman" w:eastAsia="Times New Roman" w:hAnsi="Times New Roman" w:cs="Times New Roman"/>
          <w:kern w:val="0"/>
          <w:sz w:val="24"/>
          <w:szCs w:val="24"/>
          <w:lang w:eastAsia="tr-TR"/>
          <w14:ligatures w14:val="none"/>
        </w:rPr>
        <w:t xml:space="preserve">, gerek kolluk aşamasında gerekse savcılık ve sorgu aşamasında </w:t>
      </w:r>
      <w:r w:rsidRPr="00E71CAB">
        <w:rPr>
          <w:rFonts w:ascii="Times New Roman" w:eastAsia="Times New Roman" w:hAnsi="Times New Roman" w:cs="Times New Roman"/>
          <w:b/>
          <w:bCs/>
          <w:kern w:val="0"/>
          <w:sz w:val="24"/>
          <w:szCs w:val="24"/>
          <w:lang w:eastAsia="tr-TR"/>
          <w14:ligatures w14:val="none"/>
        </w:rPr>
        <w:t>samimi bir pişmanlık içerisinde olduğunu açıkça beyan etmiş</w:t>
      </w:r>
      <w:r w:rsidRPr="00E71CAB">
        <w:rPr>
          <w:rFonts w:ascii="Times New Roman" w:eastAsia="Times New Roman" w:hAnsi="Times New Roman" w:cs="Times New Roman"/>
          <w:kern w:val="0"/>
          <w:sz w:val="24"/>
          <w:szCs w:val="24"/>
          <w:lang w:eastAsia="tr-TR"/>
          <w14:ligatures w14:val="none"/>
        </w:rPr>
        <w:t>, suçun ortaya çıkarılmasına ve diğer faillerin yakalanmasına yardımcı olmuştur.</w:t>
      </w:r>
      <w:r w:rsidRPr="00E71CAB">
        <w:rPr>
          <w:rFonts w:ascii="Times New Roman" w:eastAsia="Times New Roman" w:hAnsi="Times New Roman" w:cs="Times New Roman"/>
          <w:kern w:val="0"/>
          <w:sz w:val="24"/>
          <w:szCs w:val="24"/>
          <w:lang w:eastAsia="tr-TR"/>
          <w14:ligatures w14:val="none"/>
        </w:rPr>
        <w:br/>
        <w:t xml:space="preserve">Bu nedenle, Türk Ceza Kanunu’nun </w:t>
      </w:r>
      <w:r w:rsidRPr="00E71CAB">
        <w:rPr>
          <w:rFonts w:ascii="Times New Roman" w:eastAsia="Times New Roman" w:hAnsi="Times New Roman" w:cs="Times New Roman"/>
          <w:b/>
          <w:bCs/>
          <w:kern w:val="0"/>
          <w:sz w:val="24"/>
          <w:szCs w:val="24"/>
          <w:lang w:eastAsia="tr-TR"/>
          <w14:ligatures w14:val="none"/>
        </w:rPr>
        <w:t>192. maddesi</w:t>
      </w:r>
      <w:r w:rsidRPr="00E71CAB">
        <w:rPr>
          <w:rFonts w:ascii="Times New Roman" w:eastAsia="Times New Roman" w:hAnsi="Times New Roman" w:cs="Times New Roman"/>
          <w:kern w:val="0"/>
          <w:sz w:val="24"/>
          <w:szCs w:val="24"/>
          <w:lang w:eastAsia="tr-TR"/>
          <w14:ligatures w14:val="none"/>
        </w:rPr>
        <w:t xml:space="preserve"> uyarınca düzenlenen </w:t>
      </w:r>
      <w:r w:rsidRPr="00E71CAB">
        <w:rPr>
          <w:rFonts w:ascii="Times New Roman" w:eastAsia="Times New Roman" w:hAnsi="Times New Roman" w:cs="Times New Roman"/>
          <w:b/>
          <w:bCs/>
          <w:kern w:val="0"/>
          <w:sz w:val="24"/>
          <w:szCs w:val="24"/>
          <w:lang w:eastAsia="tr-TR"/>
          <w14:ligatures w14:val="none"/>
        </w:rPr>
        <w:t>etkin pişmanlık hükümlerinin</w:t>
      </w:r>
      <w:r w:rsidRPr="00E71CAB">
        <w:rPr>
          <w:rFonts w:ascii="Times New Roman" w:eastAsia="Times New Roman" w:hAnsi="Times New Roman" w:cs="Times New Roman"/>
          <w:kern w:val="0"/>
          <w:sz w:val="24"/>
          <w:szCs w:val="24"/>
          <w:lang w:eastAsia="tr-TR"/>
          <w14:ligatures w14:val="none"/>
        </w:rPr>
        <w:t xml:space="preserve"> müvekkil hakkında uygulanması gerekmektedir.</w:t>
      </w:r>
    </w:p>
    <w:p w14:paraId="783734ED"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lang w:eastAsia="tr-TR"/>
          <w14:ligatures w14:val="none"/>
        </w:rPr>
        <w:t xml:space="preserve">4-) </w:t>
      </w:r>
      <w:r w:rsidRPr="00E71CAB">
        <w:rPr>
          <w:rFonts w:ascii="Times New Roman" w:eastAsia="Times New Roman" w:hAnsi="Times New Roman" w:cs="Times New Roman"/>
          <w:kern w:val="0"/>
          <w:sz w:val="24"/>
          <w:szCs w:val="24"/>
          <w:lang w:eastAsia="tr-TR"/>
          <w14:ligatures w14:val="none"/>
        </w:rPr>
        <w:t>TCK m.192/3 hükmü uyarınca; “Uyuşturucu veya uyarıcı madde imal ve ticareti suçuna iştirak eden kişi, diğer suç ortaklarının yakalanmasına veya uyuşturucu maddelerin ele geçirilmesine yardımcı olduğu takdirde hakkında verilecek cezada indirim yapılır veya ceza verilmez.”</w:t>
      </w:r>
    </w:p>
    <w:p w14:paraId="78F66E97"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kern w:val="0"/>
          <w:sz w:val="24"/>
          <w:szCs w:val="24"/>
          <w:lang w:eastAsia="tr-TR"/>
          <w14:ligatures w14:val="none"/>
        </w:rPr>
        <w:t xml:space="preserve">Müvekkilin davranışları bu hükmün tüm unsurlarını karşılamakta olup, cezalandırılmasında </w:t>
      </w:r>
      <w:r w:rsidRPr="00E71CAB">
        <w:rPr>
          <w:rFonts w:ascii="Times New Roman" w:eastAsia="Times New Roman" w:hAnsi="Times New Roman" w:cs="Times New Roman"/>
          <w:b/>
          <w:bCs/>
          <w:kern w:val="0"/>
          <w:sz w:val="24"/>
          <w:szCs w:val="24"/>
          <w:lang w:eastAsia="tr-TR"/>
          <w14:ligatures w14:val="none"/>
        </w:rPr>
        <w:t>adalet ve hakkaniyet ilkeleri</w:t>
      </w:r>
      <w:r w:rsidRPr="00E71CAB">
        <w:rPr>
          <w:rFonts w:ascii="Times New Roman" w:eastAsia="Times New Roman" w:hAnsi="Times New Roman" w:cs="Times New Roman"/>
          <w:kern w:val="0"/>
          <w:sz w:val="24"/>
          <w:szCs w:val="24"/>
          <w:lang w:eastAsia="tr-TR"/>
          <w14:ligatures w14:val="none"/>
        </w:rPr>
        <w:t xml:space="preserve"> gereği indirim veya cezasızlık hükümlerinin uygulanması gerekmektedir.</w:t>
      </w:r>
    </w:p>
    <w:p w14:paraId="20FD98DC"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lang w:eastAsia="tr-TR"/>
          <w14:ligatures w14:val="none"/>
        </w:rPr>
        <w:t>5-</w:t>
      </w:r>
      <w:proofErr w:type="gramStart"/>
      <w:r w:rsidRPr="00E71CAB">
        <w:rPr>
          <w:rFonts w:ascii="Times New Roman" w:eastAsia="Times New Roman" w:hAnsi="Times New Roman" w:cs="Times New Roman"/>
          <w:b/>
          <w:bCs/>
          <w:kern w:val="0"/>
          <w:sz w:val="24"/>
          <w:szCs w:val="24"/>
          <w:lang w:eastAsia="tr-TR"/>
          <w14:ligatures w14:val="none"/>
        </w:rPr>
        <w:t xml:space="preserve">) </w:t>
      </w:r>
      <w:r w:rsidRPr="00E71CAB">
        <w:rPr>
          <w:rFonts w:ascii="Times New Roman" w:eastAsia="Times New Roman" w:hAnsi="Times New Roman" w:cs="Times New Roman"/>
          <w:kern w:val="0"/>
          <w:sz w:val="24"/>
          <w:szCs w:val="24"/>
          <w:lang w:eastAsia="tr-TR"/>
          <w14:ligatures w14:val="none"/>
        </w:rPr>
        <w:t> Müvekkil</w:t>
      </w:r>
      <w:proofErr w:type="gramEnd"/>
      <w:r w:rsidRPr="00E71CAB">
        <w:rPr>
          <w:rFonts w:ascii="Times New Roman" w:eastAsia="Times New Roman" w:hAnsi="Times New Roman" w:cs="Times New Roman"/>
          <w:kern w:val="0"/>
          <w:sz w:val="24"/>
          <w:szCs w:val="24"/>
          <w:lang w:eastAsia="tr-TR"/>
          <w14:ligatures w14:val="none"/>
        </w:rPr>
        <w:t xml:space="preserve"> genç yaşta, hayat tecrübesi sınırlı bir birey olup, işlediği fiilin hukuki ve toplumsal sonuçlarını tam olarak öngörememiştir. Ancak yargılama sürecinde gösterdiği tutum ve </w:t>
      </w:r>
      <w:proofErr w:type="gramStart"/>
      <w:r w:rsidRPr="00E71CAB">
        <w:rPr>
          <w:rFonts w:ascii="Times New Roman" w:eastAsia="Times New Roman" w:hAnsi="Times New Roman" w:cs="Times New Roman"/>
          <w:kern w:val="0"/>
          <w:sz w:val="24"/>
          <w:szCs w:val="24"/>
          <w:lang w:eastAsia="tr-TR"/>
          <w14:ligatures w14:val="none"/>
        </w:rPr>
        <w:t>işbirliği</w:t>
      </w:r>
      <w:proofErr w:type="gramEnd"/>
      <w:r w:rsidRPr="00E71CAB">
        <w:rPr>
          <w:rFonts w:ascii="Times New Roman" w:eastAsia="Times New Roman" w:hAnsi="Times New Roman" w:cs="Times New Roman"/>
          <w:kern w:val="0"/>
          <w:sz w:val="24"/>
          <w:szCs w:val="24"/>
          <w:lang w:eastAsia="tr-TR"/>
          <w14:ligatures w14:val="none"/>
        </w:rPr>
        <w:t>, suçtan arınma ve topluma yeniden kazandırılma iradesinin açık göstergesidir.</w:t>
      </w:r>
    </w:p>
    <w:p w14:paraId="3BDDE918"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u w:val="single"/>
          <w:lang w:eastAsia="tr-TR"/>
          <w14:ligatures w14:val="none"/>
        </w:rPr>
        <w:t xml:space="preserve">HUKUKİ </w:t>
      </w:r>
      <w:proofErr w:type="gramStart"/>
      <w:r w:rsidRPr="00E71CAB">
        <w:rPr>
          <w:rFonts w:ascii="Times New Roman" w:eastAsia="Times New Roman" w:hAnsi="Times New Roman" w:cs="Times New Roman"/>
          <w:b/>
          <w:bCs/>
          <w:kern w:val="0"/>
          <w:sz w:val="24"/>
          <w:szCs w:val="24"/>
          <w:u w:val="single"/>
          <w:lang w:eastAsia="tr-TR"/>
          <w14:ligatures w14:val="none"/>
        </w:rPr>
        <w:t>NEDENLER  :</w:t>
      </w:r>
      <w:proofErr w:type="gramEnd"/>
      <w:r w:rsidRPr="00E71CAB">
        <w:rPr>
          <w:rFonts w:ascii="Times New Roman" w:eastAsia="Times New Roman" w:hAnsi="Times New Roman" w:cs="Times New Roman"/>
          <w:b/>
          <w:bCs/>
          <w:kern w:val="0"/>
          <w:sz w:val="24"/>
          <w:szCs w:val="24"/>
          <w:u w:val="single"/>
          <w:lang w:eastAsia="tr-TR"/>
          <w14:ligatures w14:val="none"/>
        </w:rPr>
        <w:t xml:space="preserve"> </w:t>
      </w:r>
      <w:r w:rsidRPr="00E71CAB">
        <w:rPr>
          <w:rFonts w:ascii="Times New Roman" w:eastAsia="Times New Roman" w:hAnsi="Times New Roman" w:cs="Times New Roman"/>
          <w:kern w:val="0"/>
          <w:sz w:val="24"/>
          <w:szCs w:val="24"/>
          <w:lang w:eastAsia="tr-TR"/>
          <w14:ligatures w14:val="none"/>
        </w:rPr>
        <w:t>T.C.K. m.188, m.192 ve ilgili sair mevzuat hükümleri.</w:t>
      </w:r>
    </w:p>
    <w:p w14:paraId="4B4407E6"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u w:val="single"/>
          <w:lang w:eastAsia="tr-TR"/>
          <w14:ligatures w14:val="none"/>
        </w:rPr>
        <w:t xml:space="preserve">DELİLLER                </w:t>
      </w:r>
      <w:proofErr w:type="gramStart"/>
      <w:r w:rsidRPr="00E71CAB">
        <w:rPr>
          <w:rFonts w:ascii="Times New Roman" w:eastAsia="Times New Roman" w:hAnsi="Times New Roman" w:cs="Times New Roman"/>
          <w:b/>
          <w:bCs/>
          <w:kern w:val="0"/>
          <w:sz w:val="24"/>
          <w:szCs w:val="24"/>
          <w:u w:val="single"/>
          <w:lang w:eastAsia="tr-TR"/>
          <w14:ligatures w14:val="none"/>
        </w:rPr>
        <w:t>  :</w:t>
      </w:r>
      <w:proofErr w:type="gramEnd"/>
      <w:r w:rsidRPr="00E71CAB">
        <w:rPr>
          <w:rFonts w:ascii="Times New Roman" w:eastAsia="Times New Roman" w:hAnsi="Times New Roman" w:cs="Times New Roman"/>
          <w:b/>
          <w:bCs/>
          <w:kern w:val="0"/>
          <w:sz w:val="24"/>
          <w:szCs w:val="24"/>
          <w:u w:val="single"/>
          <w:lang w:eastAsia="tr-TR"/>
          <w14:ligatures w14:val="none"/>
        </w:rPr>
        <w:t xml:space="preserve"> </w:t>
      </w:r>
      <w:r w:rsidRPr="00E71CAB">
        <w:rPr>
          <w:rFonts w:ascii="Times New Roman" w:eastAsia="Times New Roman" w:hAnsi="Times New Roman" w:cs="Times New Roman"/>
          <w:kern w:val="0"/>
          <w:sz w:val="24"/>
          <w:szCs w:val="24"/>
          <w:lang w:eastAsia="tr-TR"/>
          <w14:ligatures w14:val="none"/>
        </w:rPr>
        <w:t>Kolluk beyan tutanakları, Savcılık ve sorgu ifadeleri, Tanık anlatımları, Dosya kapsamındaki diğer delil ve belgeler.</w:t>
      </w:r>
    </w:p>
    <w:p w14:paraId="0BEFD5A7"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u w:val="single"/>
          <w:lang w:eastAsia="tr-TR"/>
          <w14:ligatures w14:val="none"/>
        </w:rPr>
        <w:lastRenderedPageBreak/>
        <w:t>SONUÇ VE İSTEM       </w:t>
      </w:r>
      <w:proofErr w:type="gramStart"/>
      <w:r w:rsidRPr="00E71CAB">
        <w:rPr>
          <w:rFonts w:ascii="Times New Roman" w:eastAsia="Times New Roman" w:hAnsi="Times New Roman" w:cs="Times New Roman"/>
          <w:b/>
          <w:bCs/>
          <w:kern w:val="0"/>
          <w:sz w:val="24"/>
          <w:szCs w:val="24"/>
          <w:u w:val="single"/>
          <w:lang w:eastAsia="tr-TR"/>
          <w14:ligatures w14:val="none"/>
        </w:rPr>
        <w:t xml:space="preserve">  :</w:t>
      </w:r>
      <w:proofErr w:type="gramEnd"/>
      <w:r w:rsidRPr="00E71CAB">
        <w:rPr>
          <w:rFonts w:ascii="Times New Roman" w:eastAsia="Times New Roman" w:hAnsi="Times New Roman" w:cs="Times New Roman"/>
          <w:kern w:val="0"/>
          <w:sz w:val="24"/>
          <w:szCs w:val="24"/>
          <w:lang w:eastAsia="tr-TR"/>
          <w14:ligatures w14:val="none"/>
        </w:rPr>
        <w:t xml:space="preserve"> Yukarıda arz ve izah edilen nedenlerle;</w:t>
      </w:r>
    </w:p>
    <w:p w14:paraId="0AE42C02" w14:textId="77777777" w:rsidR="00E71CAB" w:rsidRPr="00E71CAB" w:rsidRDefault="00E71CAB" w:rsidP="00E71CAB">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kern w:val="0"/>
          <w:sz w:val="24"/>
          <w:szCs w:val="24"/>
          <w:lang w:eastAsia="tr-TR"/>
          <w14:ligatures w14:val="none"/>
        </w:rPr>
        <w:t xml:space="preserve">Müvekkil tarafından soruşturma ve kovuşturma aşamalarında gösterilen samimi </w:t>
      </w:r>
      <w:proofErr w:type="gramStart"/>
      <w:r w:rsidRPr="00E71CAB">
        <w:rPr>
          <w:rFonts w:ascii="Times New Roman" w:eastAsia="Times New Roman" w:hAnsi="Times New Roman" w:cs="Times New Roman"/>
          <w:kern w:val="0"/>
          <w:sz w:val="24"/>
          <w:szCs w:val="24"/>
          <w:lang w:eastAsia="tr-TR"/>
          <w14:ligatures w14:val="none"/>
        </w:rPr>
        <w:t>işbirliği</w:t>
      </w:r>
      <w:proofErr w:type="gramEnd"/>
      <w:r w:rsidRPr="00E71CAB">
        <w:rPr>
          <w:rFonts w:ascii="Times New Roman" w:eastAsia="Times New Roman" w:hAnsi="Times New Roman" w:cs="Times New Roman"/>
          <w:kern w:val="0"/>
          <w:sz w:val="24"/>
          <w:szCs w:val="24"/>
          <w:lang w:eastAsia="tr-TR"/>
          <w14:ligatures w14:val="none"/>
        </w:rPr>
        <w:t xml:space="preserve"> ve pişmanlık dikkate alınarak, öncelikle </w:t>
      </w:r>
      <w:r w:rsidRPr="00E71CAB">
        <w:rPr>
          <w:rFonts w:ascii="Times New Roman" w:eastAsia="Times New Roman" w:hAnsi="Times New Roman" w:cs="Times New Roman"/>
          <w:b/>
          <w:bCs/>
          <w:kern w:val="0"/>
          <w:sz w:val="24"/>
          <w:szCs w:val="24"/>
          <w:lang w:eastAsia="tr-TR"/>
          <w14:ligatures w14:val="none"/>
        </w:rPr>
        <w:t>BERAATİNE</w:t>
      </w:r>
      <w:r w:rsidRPr="00E71CAB">
        <w:rPr>
          <w:rFonts w:ascii="Times New Roman" w:eastAsia="Times New Roman" w:hAnsi="Times New Roman" w:cs="Times New Roman"/>
          <w:kern w:val="0"/>
          <w:sz w:val="24"/>
          <w:szCs w:val="24"/>
          <w:lang w:eastAsia="tr-TR"/>
          <w14:ligatures w14:val="none"/>
        </w:rPr>
        <w:t xml:space="preserve"> karar verilmesi, mahkeme aksi kanaatte </w:t>
      </w:r>
      <w:proofErr w:type="gramStart"/>
      <w:r w:rsidRPr="00E71CAB">
        <w:rPr>
          <w:rFonts w:ascii="Times New Roman" w:eastAsia="Times New Roman" w:hAnsi="Times New Roman" w:cs="Times New Roman"/>
          <w:kern w:val="0"/>
          <w:sz w:val="24"/>
          <w:szCs w:val="24"/>
          <w:lang w:eastAsia="tr-TR"/>
          <w14:ligatures w14:val="none"/>
        </w:rPr>
        <w:t>ise  Türk</w:t>
      </w:r>
      <w:proofErr w:type="gramEnd"/>
      <w:r w:rsidRPr="00E71CAB">
        <w:rPr>
          <w:rFonts w:ascii="Times New Roman" w:eastAsia="Times New Roman" w:hAnsi="Times New Roman" w:cs="Times New Roman"/>
          <w:kern w:val="0"/>
          <w:sz w:val="24"/>
          <w:szCs w:val="24"/>
          <w:lang w:eastAsia="tr-TR"/>
          <w14:ligatures w14:val="none"/>
        </w:rPr>
        <w:t xml:space="preserve"> Ceza Kanunu’nun 192. maddesi uyarınca </w:t>
      </w:r>
      <w:r w:rsidRPr="00E71CAB">
        <w:rPr>
          <w:rFonts w:ascii="Times New Roman" w:eastAsia="Times New Roman" w:hAnsi="Times New Roman" w:cs="Times New Roman"/>
          <w:b/>
          <w:bCs/>
          <w:kern w:val="0"/>
          <w:sz w:val="24"/>
          <w:szCs w:val="24"/>
          <w:lang w:eastAsia="tr-TR"/>
          <w14:ligatures w14:val="none"/>
        </w:rPr>
        <w:t>etkin pişmanlık ve diğer lehe olan hükümlerin uygulanması</w:t>
      </w:r>
    </w:p>
    <w:p w14:paraId="6E78EF03" w14:textId="77777777" w:rsidR="00E71CAB" w:rsidRPr="00E71CAB" w:rsidRDefault="00E71CAB" w:rsidP="00E71CA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gramStart"/>
      <w:r w:rsidRPr="00E71CAB">
        <w:rPr>
          <w:rFonts w:ascii="Times New Roman" w:eastAsia="Times New Roman" w:hAnsi="Times New Roman" w:cs="Times New Roman"/>
          <w:kern w:val="0"/>
          <w:sz w:val="24"/>
          <w:szCs w:val="24"/>
          <w:lang w:eastAsia="tr-TR"/>
          <w14:ligatures w14:val="none"/>
        </w:rPr>
        <w:t>saygıyla</w:t>
      </w:r>
      <w:proofErr w:type="gramEnd"/>
      <w:r w:rsidRPr="00E71CAB">
        <w:rPr>
          <w:rFonts w:ascii="Times New Roman" w:eastAsia="Times New Roman" w:hAnsi="Times New Roman" w:cs="Times New Roman"/>
          <w:kern w:val="0"/>
          <w:sz w:val="24"/>
          <w:szCs w:val="24"/>
          <w:lang w:eastAsia="tr-TR"/>
          <w14:ligatures w14:val="none"/>
        </w:rPr>
        <w:t xml:space="preserve"> arz ve talep olunur.</w:t>
      </w:r>
    </w:p>
    <w:p w14:paraId="30763F53" w14:textId="77777777" w:rsidR="00E71CAB" w:rsidRPr="00E71CAB" w:rsidRDefault="00E71CAB" w:rsidP="00E71CAB">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lang w:eastAsia="tr-TR"/>
          <w14:ligatures w14:val="none"/>
        </w:rPr>
        <w:t>Sanık Müdafi</w:t>
      </w:r>
    </w:p>
    <w:p w14:paraId="43682918" w14:textId="77777777" w:rsidR="00E71CAB" w:rsidRPr="00E71CAB" w:rsidRDefault="00E71CAB" w:rsidP="00E71CAB">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E71CAB">
        <w:rPr>
          <w:rFonts w:ascii="Times New Roman" w:eastAsia="Times New Roman" w:hAnsi="Times New Roman" w:cs="Times New Roman"/>
          <w:b/>
          <w:bCs/>
          <w:kern w:val="0"/>
          <w:sz w:val="24"/>
          <w:szCs w:val="24"/>
          <w:lang w:eastAsia="tr-TR"/>
          <w14:ligatures w14:val="none"/>
        </w:rPr>
        <w:t>Av. Yekcan ÖNER</w:t>
      </w:r>
    </w:p>
    <w:p w14:paraId="51479922" w14:textId="321531C2" w:rsidR="00A758D2" w:rsidRPr="00E71CAB" w:rsidRDefault="00A758D2" w:rsidP="00E71CAB"/>
    <w:sectPr w:rsidR="00A758D2" w:rsidRPr="00E71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7"/>
  </w:num>
  <w:num w:numId="2" w16cid:durableId="2018457497">
    <w:abstractNumId w:val="3"/>
  </w:num>
  <w:num w:numId="3" w16cid:durableId="1986423652">
    <w:abstractNumId w:val="4"/>
  </w:num>
  <w:num w:numId="4" w16cid:durableId="1103188590">
    <w:abstractNumId w:val="6"/>
  </w:num>
  <w:num w:numId="5" w16cid:durableId="1164318237">
    <w:abstractNumId w:val="9"/>
  </w:num>
  <w:num w:numId="6" w16cid:durableId="588080444">
    <w:abstractNumId w:val="1"/>
  </w:num>
  <w:num w:numId="7" w16cid:durableId="2114014422">
    <w:abstractNumId w:val="0"/>
  </w:num>
  <w:num w:numId="8" w16cid:durableId="1923829511">
    <w:abstractNumId w:val="8"/>
  </w:num>
  <w:num w:numId="9" w16cid:durableId="158736103">
    <w:abstractNumId w:val="2"/>
  </w:num>
  <w:num w:numId="10" w16cid:durableId="230821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4D1C4E"/>
    <w:rsid w:val="00560BCD"/>
    <w:rsid w:val="0060085A"/>
    <w:rsid w:val="006A62CB"/>
    <w:rsid w:val="006F1937"/>
    <w:rsid w:val="007716A8"/>
    <w:rsid w:val="00811661"/>
    <w:rsid w:val="00A758D2"/>
    <w:rsid w:val="00CA709E"/>
    <w:rsid w:val="00CA721F"/>
    <w:rsid w:val="00E71CAB"/>
    <w:rsid w:val="00EA5FB5"/>
    <w:rsid w:val="00EB3D7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6</cp:revision>
  <dcterms:created xsi:type="dcterms:W3CDTF">2026-05-29T22:09:00Z</dcterms:created>
  <dcterms:modified xsi:type="dcterms:W3CDTF">2026-05-31T17:22:00Z</dcterms:modified>
</cp:coreProperties>
</file>