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6526" w14:textId="77777777" w:rsidR="0060085A" w:rsidRDefault="0060085A" w:rsidP="0060085A">
      <w:pPr>
        <w:pStyle w:val="font-claude-response-body"/>
        <w:jc w:val="center"/>
      </w:pPr>
      <w:r>
        <w:rPr>
          <w:rStyle w:val="Gl"/>
        </w:rPr>
        <w:t>… SULH CEZA HÂKİMLİĞİ'NE</w:t>
      </w:r>
      <w:r>
        <w:t xml:space="preserve"> </w:t>
      </w:r>
      <w:r>
        <w:rPr>
          <w:rStyle w:val="Vurgu"/>
        </w:rPr>
        <w:t>(İtirazı incelemeye yetkili hâkimliğe gönderilmek üzere)</w:t>
      </w:r>
    </w:p>
    <w:p w14:paraId="5AB15C90" w14:textId="77777777" w:rsidR="0060085A" w:rsidRDefault="0060085A" w:rsidP="0060085A">
      <w:pPr>
        <w:pStyle w:val="font-claude-response-body"/>
        <w:jc w:val="center"/>
      </w:pPr>
      <w:r>
        <w:rPr>
          <w:rStyle w:val="Gl"/>
        </w:rPr>
        <w:t>… SULH CEZA HÂKİMLİĞİ'NE</w:t>
      </w:r>
      <w:r>
        <w:t xml:space="preserve"> </w:t>
      </w:r>
      <w:r>
        <w:rPr>
          <w:rStyle w:val="Vurgu"/>
        </w:rPr>
        <w:t>(Kararı veren hâkimlik)</w:t>
      </w:r>
    </w:p>
    <w:p w14:paraId="6138E098" w14:textId="77777777" w:rsidR="0060085A" w:rsidRDefault="0060085A" w:rsidP="0060085A">
      <w:pPr>
        <w:pStyle w:val="font-claude-response-body"/>
        <w:jc w:val="both"/>
      </w:pPr>
      <w:r>
        <w:rPr>
          <w:rStyle w:val="Gl"/>
        </w:rPr>
        <w:t>Soruşturma No:</w:t>
      </w:r>
      <w:r>
        <w:t xml:space="preserve"> …/… </w:t>
      </w:r>
      <w:r>
        <w:rPr>
          <w:rStyle w:val="Gl"/>
        </w:rPr>
        <w:t>Sorgu No:</w:t>
      </w:r>
      <w:r>
        <w:t xml:space="preserve"> …/…</w:t>
      </w:r>
    </w:p>
    <w:p w14:paraId="5E0D10B7" w14:textId="77777777" w:rsidR="0060085A" w:rsidRDefault="0060085A" w:rsidP="0060085A">
      <w:pPr>
        <w:pStyle w:val="font-claude-response-body"/>
        <w:jc w:val="both"/>
      </w:pPr>
      <w:r>
        <w:rPr>
          <w:rStyle w:val="Gl"/>
        </w:rPr>
        <w:t>İTİRAZ EDEN ŞÜPHELİ:</w:t>
      </w:r>
      <w:r>
        <w:t xml:space="preserve"> [Ad </w:t>
      </w:r>
      <w:proofErr w:type="spellStart"/>
      <w:r>
        <w:t>Soyad</w:t>
      </w:r>
      <w:proofErr w:type="spellEnd"/>
      <w:r>
        <w:t xml:space="preserve">] </w:t>
      </w:r>
      <w:proofErr w:type="gramStart"/>
      <w:r>
        <w:rPr>
          <w:rStyle w:val="Gl"/>
        </w:rPr>
        <w:t>T.C. :</w:t>
      </w:r>
      <w:proofErr w:type="gramEnd"/>
      <w:r>
        <w:t xml:space="preserve"> …</w:t>
      </w:r>
    </w:p>
    <w:p w14:paraId="36473318" w14:textId="77777777" w:rsidR="0060085A" w:rsidRDefault="0060085A" w:rsidP="0060085A">
      <w:pPr>
        <w:pStyle w:val="font-claude-response-body"/>
        <w:jc w:val="both"/>
      </w:pPr>
      <w:r>
        <w:rPr>
          <w:rStyle w:val="Gl"/>
        </w:rPr>
        <w:t>ADRES:</w:t>
      </w:r>
      <w:r>
        <w:t xml:space="preserve"> …</w:t>
      </w:r>
    </w:p>
    <w:p w14:paraId="647FE7CC" w14:textId="77777777" w:rsidR="0060085A" w:rsidRDefault="0060085A" w:rsidP="0060085A">
      <w:pPr>
        <w:pStyle w:val="font-claude-response-body"/>
        <w:jc w:val="both"/>
      </w:pPr>
      <w:r>
        <w:rPr>
          <w:rStyle w:val="Gl"/>
        </w:rPr>
        <w:t>MÜDAFİİ:</w:t>
      </w:r>
      <w:r>
        <w:t xml:space="preserve"> Av. Yekcan Öner</w:t>
      </w:r>
    </w:p>
    <w:p w14:paraId="19EC7346" w14:textId="77777777" w:rsidR="0060085A" w:rsidRDefault="0060085A" w:rsidP="0060085A">
      <w:pPr>
        <w:pStyle w:val="font-claude-response-body"/>
        <w:jc w:val="both"/>
      </w:pPr>
      <w:r>
        <w:rPr>
          <w:rStyle w:val="Gl"/>
        </w:rPr>
        <w:t>ADRES:</w:t>
      </w:r>
    </w:p>
    <w:p w14:paraId="1F0F0911" w14:textId="77777777" w:rsidR="0060085A" w:rsidRDefault="0060085A" w:rsidP="0060085A">
      <w:pPr>
        <w:pStyle w:val="font-claude-response-body"/>
        <w:jc w:val="both"/>
      </w:pPr>
      <w:r>
        <w:rPr>
          <w:rStyle w:val="Gl"/>
        </w:rPr>
        <w:t>İSNAT EDİLEN SUÇ:</w:t>
      </w:r>
      <w:r>
        <w:t xml:space="preserve"> …</w:t>
      </w:r>
    </w:p>
    <w:p w14:paraId="1EDB9357" w14:textId="77777777" w:rsidR="0060085A" w:rsidRDefault="0060085A" w:rsidP="0060085A">
      <w:pPr>
        <w:pStyle w:val="font-claude-response-body"/>
        <w:jc w:val="both"/>
      </w:pPr>
      <w:r>
        <w:rPr>
          <w:rStyle w:val="Gl"/>
        </w:rPr>
        <w:t>KARAR TARİHİ / TEFHİM-TEBLİĞ TARİHİ:</w:t>
      </w:r>
      <w:r>
        <w:t xml:space="preserve"> …/…/…</w:t>
      </w:r>
    </w:p>
    <w:p w14:paraId="68B032FD" w14:textId="77777777" w:rsidR="0060085A" w:rsidRDefault="0060085A" w:rsidP="0060085A">
      <w:pPr>
        <w:pStyle w:val="font-claude-response-body"/>
        <w:jc w:val="both"/>
      </w:pPr>
      <w:r>
        <w:rPr>
          <w:rStyle w:val="Gl"/>
        </w:rPr>
        <w:t>KONU:</w:t>
      </w:r>
      <w:r>
        <w:t xml:space="preserve"> … Sulh Ceza </w:t>
      </w:r>
      <w:proofErr w:type="spellStart"/>
      <w:r>
        <w:t>Hâkimliği'nin</w:t>
      </w:r>
      <w:proofErr w:type="spellEnd"/>
      <w:r>
        <w:t xml:space="preserve"> …/…/… tarih ve …/… sorgu sayılı adli kontrol kararına karşı itirazlarımızın ve tedbirin kaldırılması (olmazsa hafifletilmesi) taleplerimizin sunulmasından ibarettir.</w:t>
      </w:r>
    </w:p>
    <w:p w14:paraId="4AA11191" w14:textId="77777777" w:rsidR="0060085A" w:rsidRDefault="0060085A" w:rsidP="0060085A">
      <w:pPr>
        <w:pStyle w:val="font-claude-response-body"/>
        <w:jc w:val="both"/>
      </w:pPr>
      <w:r>
        <w:rPr>
          <w:rStyle w:val="Gl"/>
        </w:rPr>
        <w:t>AÇIKLAMALAR:</w:t>
      </w:r>
    </w:p>
    <w:p w14:paraId="202BB29B" w14:textId="77777777" w:rsidR="0060085A" w:rsidRDefault="0060085A" w:rsidP="0060085A">
      <w:pPr>
        <w:pStyle w:val="font-claude-response-body"/>
        <w:jc w:val="both"/>
      </w:pPr>
      <w:r>
        <w:rPr>
          <w:rStyle w:val="Gl"/>
        </w:rPr>
        <w:t>1-)</w:t>
      </w:r>
      <w:r>
        <w:t xml:space="preserve"> Müvekkilim hakkında, … Cumhuriyet Başsavcılığı'nın …/…/… tarih ve …/… soruşturma sayılı dosyası kapsamında, … Sulh Ceza </w:t>
      </w:r>
      <w:proofErr w:type="spellStart"/>
      <w:r>
        <w:t>Hâkimliği'nin</w:t>
      </w:r>
      <w:proofErr w:type="spellEnd"/>
      <w:r>
        <w:t xml:space="preserve"> …/…/… tarihli kararıyla "[ör. haftada bir gün imza atma yükümlülüğü]" şeklinde adli kontrol kararı verilmiştir. İşbu itiraz, CMK m. 268/1 uyarınca tefhim/tebliğ tarihinden itibaren yasal 7 günlük süre içinde sunulmaktadır.</w:t>
      </w:r>
    </w:p>
    <w:p w14:paraId="476FB05C" w14:textId="77777777" w:rsidR="0060085A" w:rsidRDefault="0060085A" w:rsidP="0060085A">
      <w:pPr>
        <w:pStyle w:val="font-claude-response-body"/>
        <w:jc w:val="both"/>
      </w:pPr>
      <w:r>
        <w:rPr>
          <w:rStyle w:val="Gl"/>
        </w:rPr>
        <w:t>2-)</w:t>
      </w:r>
      <w:r>
        <w:t xml:space="preserve"> Adli kontrol, tutuklamaya alternatif bir koruma tedbiri olup, uygulanabilmesi için CMK m. 100'de aranan </w:t>
      </w:r>
      <w:r>
        <w:rPr>
          <w:rStyle w:val="Gl"/>
        </w:rPr>
        <w:t>kuvvetli suç şüphesi</w:t>
      </w:r>
      <w:r>
        <w:t xml:space="preserve"> ve bir tutuklama nedeninin bulunması gerekir. Somut dosyada müvekkil aleyhine kuvvetli suç şüphesini gösterir somut delil bulunmamakta, isnat edilen suçun maddi/manevi unsurları oluşmamaktadır. Bu yönüyle tedbirin yasal dayanağı bulunmamaktadır.</w:t>
      </w:r>
    </w:p>
    <w:p w14:paraId="22CDA146" w14:textId="77777777" w:rsidR="0060085A" w:rsidRDefault="0060085A" w:rsidP="0060085A">
      <w:pPr>
        <w:pStyle w:val="font-claude-response-body"/>
        <w:jc w:val="both"/>
      </w:pPr>
      <w:r>
        <w:rPr>
          <w:rStyle w:val="Gl"/>
        </w:rPr>
        <w:t>3-)</w:t>
      </w:r>
      <w:r>
        <w:t xml:space="preserve"> Kaldı ki CMK m. 109, tedbirin uygulanmasında </w:t>
      </w:r>
      <w:r>
        <w:rPr>
          <w:rStyle w:val="Gl"/>
        </w:rPr>
        <w:t>ölçülülük ilkesine</w:t>
      </w:r>
      <w:r>
        <w:t xml:space="preserve"> uyulmasını zorunlu kılar. Müvekkilin sabit ikametgâhı, [iş/aile durumu] ve dosyada kaçma şüphesini gösterir hiçbir emarenin bulunmaması karşısında, getirilen yükümlülük müvekkilin çalışma ve günlük yaşamını orantısız biçimde kısıtlamakta; güdülen amaçla bağdaşmamaktadır.</w:t>
      </w:r>
    </w:p>
    <w:p w14:paraId="45B0CAD4" w14:textId="77777777" w:rsidR="0060085A" w:rsidRDefault="0060085A" w:rsidP="0060085A">
      <w:pPr>
        <w:pStyle w:val="font-claude-response-body"/>
        <w:jc w:val="both"/>
      </w:pPr>
      <w:r>
        <w:rPr>
          <w:rStyle w:val="Gl"/>
        </w:rPr>
        <w:t>4-)</w:t>
      </w:r>
      <w:r>
        <w:t xml:space="preserve"> [Somut gerekçeler buraya: ör. iş yerinin imza saatleriyle çakışması, sağlık durumu, mesafe, geçimini sağlama zorunluluğu vb. — dosyaya göre uyarlanır.]</w:t>
      </w:r>
    </w:p>
    <w:p w14:paraId="2A61FD09" w14:textId="77777777" w:rsidR="0060085A" w:rsidRDefault="0060085A" w:rsidP="0060085A">
      <w:pPr>
        <w:pStyle w:val="font-claude-response-body"/>
        <w:jc w:val="both"/>
      </w:pPr>
      <w:r>
        <w:rPr>
          <w:rStyle w:val="Gl"/>
        </w:rPr>
        <w:t>HUKUKİ NEDENLER:</w:t>
      </w:r>
      <w:r>
        <w:t xml:space="preserve"> CMK m. 100, 109, 110, 111, 267, 268 ve ilgili mevzuat.</w:t>
      </w:r>
    </w:p>
    <w:p w14:paraId="0C3509D4" w14:textId="77777777" w:rsidR="0060085A" w:rsidRDefault="0060085A" w:rsidP="0060085A">
      <w:pPr>
        <w:pStyle w:val="font-claude-response-body"/>
        <w:jc w:val="both"/>
      </w:pPr>
      <w:r>
        <w:rPr>
          <w:rStyle w:val="Gl"/>
        </w:rPr>
        <w:t>HUKUKİ DELİLLER:</w:t>
      </w:r>
      <w:r>
        <w:t xml:space="preserve"> Soruşturma dosyası, [ikametgâh belgesi, iş yeri/SGK kaydı, sağlık raporu vb.] ve her türlü yasal delil.</w:t>
      </w:r>
    </w:p>
    <w:p w14:paraId="69C6CF66" w14:textId="77777777" w:rsidR="0060085A" w:rsidRDefault="0060085A" w:rsidP="0060085A">
      <w:pPr>
        <w:pStyle w:val="font-claude-response-body"/>
        <w:jc w:val="both"/>
      </w:pPr>
      <w:r>
        <w:rPr>
          <w:rStyle w:val="Gl"/>
        </w:rPr>
        <w:t>SONUÇ VE İSTEM:</w:t>
      </w:r>
      <w:r>
        <w:t xml:space="preserve"> Yukarıda açıklanan ve sayın hâkimliğinizce </w:t>
      </w:r>
      <w:proofErr w:type="spellStart"/>
      <w:r>
        <w:t>re'sen</w:t>
      </w:r>
      <w:proofErr w:type="spellEnd"/>
      <w:r>
        <w:t xml:space="preserve"> gözetilecek nedenlerle;</w:t>
      </w:r>
    </w:p>
    <w:p w14:paraId="0B0F5D8A" w14:textId="77777777" w:rsidR="0060085A" w:rsidRDefault="0060085A" w:rsidP="0060085A">
      <w:pPr>
        <w:pStyle w:val="font-claude-response-body"/>
        <w:numPr>
          <w:ilvl w:val="0"/>
          <w:numId w:val="1"/>
        </w:numPr>
        <w:jc w:val="both"/>
      </w:pPr>
      <w:r>
        <w:lastRenderedPageBreak/>
        <w:t xml:space="preserve">İtirazımızın </w:t>
      </w:r>
      <w:r>
        <w:rPr>
          <w:rStyle w:val="Gl"/>
        </w:rPr>
        <w:t>KABULÜ</w:t>
      </w:r>
      <w:r>
        <w:t xml:space="preserve"> ile müvekkil hakkında verilen </w:t>
      </w:r>
      <w:r>
        <w:rPr>
          <w:rStyle w:val="Gl"/>
        </w:rPr>
        <w:t>adli kontrol kararının KALDIRILMASINA</w:t>
      </w:r>
      <w:r>
        <w:t>,</w:t>
      </w:r>
    </w:p>
    <w:p w14:paraId="678436AB" w14:textId="77777777" w:rsidR="0060085A" w:rsidRDefault="0060085A" w:rsidP="0060085A">
      <w:pPr>
        <w:pStyle w:val="font-claude-response-body"/>
        <w:numPr>
          <w:ilvl w:val="0"/>
          <w:numId w:val="1"/>
        </w:numPr>
        <w:jc w:val="both"/>
      </w:pPr>
      <w:r>
        <w:t xml:space="preserve">Kaldırılması yerinde görülmediği takdirde, tedbirin müvekkilin mağduriyetini giderecek şekilde </w:t>
      </w:r>
      <w:r>
        <w:rPr>
          <w:rStyle w:val="Gl"/>
        </w:rPr>
        <w:t>hafifletilmesine / değiştirilmesine</w:t>
      </w:r>
      <w:r>
        <w:t xml:space="preserve"> (ör. imza gün ve saatlerinin yeniden belirlenmesine),</w:t>
      </w:r>
    </w:p>
    <w:p w14:paraId="56323F85" w14:textId="77777777" w:rsidR="0060085A" w:rsidRDefault="0060085A" w:rsidP="0060085A">
      <w:pPr>
        <w:pStyle w:val="font-claude-response-body"/>
        <w:numPr>
          <w:ilvl w:val="0"/>
          <w:numId w:val="1"/>
        </w:numPr>
        <w:jc w:val="both"/>
      </w:pPr>
      <w:r>
        <w:t xml:space="preserve">İtirazın yerinde görülmemesi hâlinde dosyanın incelenmek üzere yetkili itiraz merciine </w:t>
      </w:r>
      <w:r>
        <w:rPr>
          <w:rStyle w:val="Gl"/>
        </w:rPr>
        <w:t>gönderilmesine</w:t>
      </w:r>
      <w:r>
        <w:t>,</w:t>
      </w:r>
    </w:p>
    <w:p w14:paraId="60BBC5C1" w14:textId="77777777" w:rsidR="0060085A" w:rsidRDefault="0060085A" w:rsidP="0060085A">
      <w:pPr>
        <w:pStyle w:val="font-claude-response-body"/>
        <w:jc w:val="both"/>
      </w:pPr>
      <w:proofErr w:type="gramStart"/>
      <w:r>
        <w:t>karar</w:t>
      </w:r>
      <w:proofErr w:type="gramEnd"/>
      <w:r>
        <w:t xml:space="preserve"> verilmesini saygılarımızla vekâleten arz ve talep ederiz. …/…/…</w:t>
      </w:r>
    </w:p>
    <w:p w14:paraId="1E9E614B" w14:textId="77777777" w:rsidR="0060085A" w:rsidRDefault="0060085A" w:rsidP="0060085A">
      <w:pPr>
        <w:pStyle w:val="font-claude-response-body"/>
        <w:jc w:val="right"/>
      </w:pPr>
      <w:r>
        <w:rPr>
          <w:rStyle w:val="Gl"/>
        </w:rPr>
        <w:t xml:space="preserve">İtiraz Eden Şüpheli </w:t>
      </w:r>
      <w:proofErr w:type="spellStart"/>
      <w:r>
        <w:rPr>
          <w:rStyle w:val="Gl"/>
        </w:rPr>
        <w:t>Müdafii</w:t>
      </w:r>
      <w:proofErr w:type="spellEnd"/>
    </w:p>
    <w:p w14:paraId="3D074E77" w14:textId="77777777" w:rsidR="0060085A" w:rsidRDefault="0060085A" w:rsidP="0060085A">
      <w:pPr>
        <w:pStyle w:val="font-claude-response-body"/>
        <w:jc w:val="right"/>
      </w:pPr>
      <w:r>
        <w:rPr>
          <w:rStyle w:val="Gl"/>
        </w:rPr>
        <w:t>Av. Yekcan Öner</w:t>
      </w:r>
      <w:r>
        <w:t xml:space="preserve"> </w:t>
      </w:r>
      <w:r>
        <w:rPr>
          <w:rStyle w:val="Vurgu"/>
        </w:rPr>
        <w:t>(imza)</w:t>
      </w:r>
    </w:p>
    <w:p w14:paraId="51479922" w14:textId="77777777" w:rsidR="00A758D2" w:rsidRDefault="00A758D2"/>
    <w:sectPr w:rsidR="00A75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A7A5D"/>
    <w:multiLevelType w:val="multilevel"/>
    <w:tmpl w:val="3E0C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92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1F"/>
    <w:rsid w:val="00560BCD"/>
    <w:rsid w:val="0060085A"/>
    <w:rsid w:val="00A758D2"/>
    <w:rsid w:val="00CA709E"/>
    <w:rsid w:val="00C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95400-FD65-4861-9DD0-25B07CFD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7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A7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7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7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7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7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7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7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7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7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A7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721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721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72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72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72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72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A7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A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A7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A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A7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A72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A72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A721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7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721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A721F"/>
    <w:rPr>
      <w:b/>
      <w:bCs/>
      <w:smallCaps/>
      <w:color w:val="2F5496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60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60085A"/>
    <w:rPr>
      <w:b/>
      <w:bCs/>
    </w:rPr>
  </w:style>
  <w:style w:type="character" w:styleId="Vurgu">
    <w:name w:val="Emphasis"/>
    <w:basedOn w:val="VarsaylanParagrafYazTipi"/>
    <w:uiPriority w:val="20"/>
    <w:qFormat/>
    <w:rsid w:val="006008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Yekcan .</dc:creator>
  <cp:keywords/>
  <dc:description/>
  <cp:lastModifiedBy>Yekcan .</cp:lastModifiedBy>
  <cp:revision>2</cp:revision>
  <dcterms:created xsi:type="dcterms:W3CDTF">2026-05-29T22:09:00Z</dcterms:created>
  <dcterms:modified xsi:type="dcterms:W3CDTF">2026-05-29T22:09:00Z</dcterms:modified>
</cp:coreProperties>
</file>